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7e42eaf278c485d"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14648</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OSNOVNA ŠKOLA STJEPANA BENCEKOVIĆA</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406.180,44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460.425,60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399.990,64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521.750,79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61.325,19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5.139,07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2.440,50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5.139,07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2.440,50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47,5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63.765,69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Ukupni prihodi poslovanja iznose 460.425,60 eura i indeks povećanja iznosi 113,4 u odnosu na isto razdoblje prethodne godine.  Ukupni rashodi iznose 521.750,79 eura i indeks povećanja iznosi 130,4. Iz navedenog proizlazi manjak prihoda poslovanja koji iznosi 61.325,19 koji je većinski nastao zbog novog načina knjiženja plaća gdje je knjižen trošak za lipanj a stvarna isplata je u srpnju kada se knjiži i prihod za isto.
Rashodi za nabavu nefinancijske imovine iznose 2.440,50 eura i indeks je 47,5 što znači da je manje potrošeno nego prethodne godine u istom razdoblju. Također je nastao ukupan manjak prihoda u iznosu 63.765,69 eura.</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406.180,44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460.425,60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113,4</w:t>
            </w:r>
          </w:p>
        </w:tc>
      </w:tr>
    </w:tbl>
    <w:p>
      <w:pPr>
        <w:spacing w:before="0" w:after="0"/>
      </w:pPr>
    </w:p>
    <w:p>
      <w:pPr>
        <w:jc w:val="both"/>
        <w:pStyle w:val="Normal"/>
        <w:spacing w:line="240" w:lineRule="auto"/>
      </w:pPr>
      <w:r>
        <w:rPr>
          <w:sz w:val="24"/>
          <w:rFonts w:ascii="Times New Roman" w:hAnsi="Times New Roman"/>
        </w:rPr>
        <w:t>Povećanje prihoda u odnosu na prethodnu godinu zbog povećanih troškova za održavanje škole</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iz proračuna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297.404,76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340.842,40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114,6</w:t>
            </w:r>
          </w:p>
        </w:tc>
      </w:tr>
    </w:tbl>
    <w:p>
      <w:pPr>
        <w:spacing w:before="0" w:after="0"/>
      </w:pPr>
    </w:p>
    <w:p>
      <w:pPr>
        <w:jc w:val="both"/>
        <w:pStyle w:val="Normal"/>
        <w:spacing w:line="240" w:lineRule="auto"/>
      </w:pPr>
      <w:r>
        <w:rPr>
          <w:sz w:val="24"/>
          <w:rFonts w:ascii="Times New Roman" w:hAnsi="Times New Roman"/>
        </w:rPr>
        <w:t>Povećanje u odnosu na prethodnu godinu zbog povećanja iznosa plaća djelatnika. Također na tom kontu se nalaze uplate i za prehranu te za besplatne menstrualne potrepštine.</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Prijenosi između proračunskih korisnika istog proračuna (šifre 6391 do 6394)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581,67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615,63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105,8</w:t>
            </w:r>
          </w:p>
        </w:tc>
      </w:tr>
    </w:tbl>
    <w:p>
      <w:pPr>
        <w:spacing w:before="0" w:after="0"/>
      </w:pPr>
    </w:p>
    <w:p>
      <w:pPr>
        <w:jc w:val="both"/>
        <w:pStyle w:val="Normal"/>
        <w:spacing w:line="240" w:lineRule="auto"/>
      </w:pPr>
      <w:r>
        <w:rPr>
          <w:sz w:val="24"/>
          <w:rFonts w:ascii="Times New Roman" w:hAnsi="Times New Roman"/>
        </w:rPr>
        <w:t>Odnosi se na uplate za financiranje programa EU shema voća i mlijeka u kojem i ove godine škola aktivno sudjeluje.</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prihodi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8.146,79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8.508,67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104,4</w:t>
            </w:r>
          </w:p>
        </w:tc>
      </w:tr>
    </w:tbl>
    <w:p>
      <w:pPr>
        <w:spacing w:before="0" w:after="0"/>
      </w:pPr>
    </w:p>
    <w:p>
      <w:pPr>
        <w:jc w:val="both"/>
        <w:pStyle w:val="Normal"/>
        <w:spacing w:line="240" w:lineRule="auto"/>
      </w:pPr>
      <w:r>
        <w:rPr>
          <w:sz w:val="24"/>
          <w:rFonts w:ascii="Times New Roman" w:hAnsi="Times New Roman"/>
        </w:rPr>
        <w:t>Odnosi se na uplate učenika za produženi boravak i školsku kuhinju.</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pruženih usluga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3.788,56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Nije bilo uplata za najam prostora kao što je bilo prethodne godine.</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rashoda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89.542,72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110.250,40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123,1</w:t>
            </w:r>
          </w:p>
        </w:tc>
      </w:tr>
    </w:tbl>
    <w:p>
      <w:pPr>
        <w:spacing w:before="0" w:after="0"/>
      </w:pPr>
    </w:p>
    <w:p>
      <w:pPr>
        <w:jc w:val="both"/>
        <w:pStyle w:val="Normal"/>
        <w:spacing w:line="240" w:lineRule="auto"/>
      </w:pPr>
      <w:r>
        <w:rPr>
          <w:sz w:val="24"/>
          <w:rFonts w:ascii="Times New Roman" w:hAnsi="Times New Roman"/>
        </w:rPr>
        <w:t>Odnosi se na uplate Grada za poslovanje škole. Grad je ažurniji prilikom isplata refundacija ali i uplata sredstava za materijalne troškove te su iznosi u odnosu na prethodnu godinu povećani.</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redovan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232.257,51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315.260,40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135,7</w:t>
            </w:r>
          </w:p>
        </w:tc>
      </w:tr>
    </w:tbl>
    <w:p>
      <w:pPr>
        <w:spacing w:before="0" w:after="0"/>
      </w:pPr>
    </w:p>
    <w:p>
      <w:pPr>
        <w:jc w:val="both"/>
        <w:pStyle w:val="Normal"/>
        <w:spacing w:line="240" w:lineRule="auto"/>
      </w:pPr>
      <w:r>
        <w:rPr>
          <w:sz w:val="24"/>
          <w:rFonts w:ascii="Times New Roman" w:hAnsi="Times New Roman"/>
        </w:rPr>
        <w:t>Razlika zbog povećanja osnovice u odnosu na prethodnu godinu.</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prekovremeni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2.463,53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7.270,20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295,1</w:t>
            </w:r>
          </w:p>
        </w:tc>
      </w:tr>
    </w:tbl>
    <w:p>
      <w:pPr>
        <w:spacing w:before="0" w:after="0"/>
      </w:pPr>
    </w:p>
    <w:p>
      <w:pPr>
        <w:jc w:val="both"/>
        <w:pStyle w:val="Normal"/>
        <w:spacing w:line="240" w:lineRule="auto"/>
      </w:pPr>
      <w:r>
        <w:rPr>
          <w:sz w:val="24"/>
          <w:rFonts w:ascii="Times New Roman" w:hAnsi="Times New Roman"/>
        </w:rPr>
        <w:t>Zbog učestalih bolovanja bila je veća potreba za plaćanjem zamjena učitelja pa tako je i iznos za prekovremene sate značajno veći nego prošle godine.</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Službena putovanja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926,60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1.654,95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178,6</w:t>
            </w:r>
          </w:p>
        </w:tc>
      </w:tr>
    </w:tbl>
    <w:p>
      <w:pPr>
        <w:spacing w:before="0" w:after="0"/>
      </w:pPr>
    </w:p>
    <w:p>
      <w:pPr>
        <w:jc w:val="both"/>
        <w:pStyle w:val="Normal"/>
        <w:spacing w:line="240" w:lineRule="auto"/>
      </w:pPr>
      <w:r>
        <w:rPr>
          <w:sz w:val="24"/>
          <w:rFonts w:ascii="Times New Roman" w:hAnsi="Times New Roman"/>
        </w:rPr>
        <w:t>Odnosi se na isplate dnevnica djelatnicima koji su pratnja učenicima, ali i na dnevnice za odlaske na stručna osposobljavanja.</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naknade troškova zaposlenima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678,00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735,00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108,4</w:t>
            </w:r>
          </w:p>
        </w:tc>
      </w:tr>
    </w:tbl>
    <w:p>
      <w:pPr>
        <w:spacing w:before="0" w:after="0"/>
      </w:pPr>
    </w:p>
    <w:p>
      <w:pPr>
        <w:jc w:val="both"/>
        <w:pStyle w:val="Normal"/>
        <w:spacing w:line="240" w:lineRule="auto"/>
      </w:pPr>
      <w:r>
        <w:rPr>
          <w:sz w:val="24"/>
          <w:rFonts w:ascii="Times New Roman" w:hAnsi="Times New Roman"/>
        </w:rPr>
        <w:t>Odnosi se na naknadu za korištenje osobnog automobila u poslovne svrhe. Troškovi su veći nego prošle godine zbog većih potreba prikupljanja raznih materijala u Gradskom uredu, ali i zbog odlazaka u trgovine za nabavku namirnica za školsku prehranu.</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848,00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14.658,85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1728,6</w:t>
            </w:r>
          </w:p>
        </w:tc>
      </w:tr>
    </w:tbl>
    <w:p>
      <w:pPr>
        <w:spacing w:before="0" w:after="0"/>
      </w:pPr>
    </w:p>
    <w:p>
      <w:pPr>
        <w:jc w:val="both"/>
        <w:pStyle w:val="Normal"/>
        <w:spacing w:line="240" w:lineRule="auto"/>
      </w:pPr>
      <w:r>
        <w:rPr>
          <w:sz w:val="24"/>
          <w:rFonts w:ascii="Times New Roman" w:hAnsi="Times New Roman"/>
        </w:rPr>
        <w:t>Značajno povećanje troškova u odnosu na prethodnu godinu zbog zapošljavanja zaštitara radi povećanja sigurnosti u školama.</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rad predstavničkih i izvršnih tijela, povjerenstava i slično</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463,37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1.837,22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396,5</w:t>
            </w:r>
          </w:p>
        </w:tc>
      </w:tr>
    </w:tbl>
    <w:p>
      <w:pPr>
        <w:spacing w:before="0" w:after="0"/>
      </w:pPr>
    </w:p>
    <w:p>
      <w:pPr>
        <w:jc w:val="both"/>
        <w:pStyle w:val="Normal"/>
        <w:spacing w:line="240" w:lineRule="auto"/>
      </w:pPr>
      <w:r>
        <w:rPr>
          <w:sz w:val="24"/>
          <w:rFonts w:ascii="Times New Roman" w:hAnsi="Times New Roman"/>
        </w:rPr>
        <w:t>Odnosi se na isplate naknada za Školski odbor.</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159,23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1.622,11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1018,7</w:t>
            </w:r>
          </w:p>
        </w:tc>
      </w:tr>
    </w:tbl>
    <w:p>
      <w:pPr>
        <w:spacing w:before="0" w:after="0"/>
      </w:pPr>
    </w:p>
    <w:p>
      <w:pPr>
        <w:jc w:val="both"/>
        <w:pStyle w:val="Normal"/>
        <w:spacing w:line="240" w:lineRule="auto"/>
      </w:pPr>
      <w:r>
        <w:rPr>
          <w:sz w:val="24"/>
          <w:rFonts w:ascii="Times New Roman" w:hAnsi="Times New Roman"/>
        </w:rPr>
        <w:t>Na kontu su knjiženi troškovi izleta učenika.</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6.922,48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obveza na početku razdoblja iznosi 82.961,37 eura dok na kraju izvještajnog razdoblja iznosi 82.347,18 eura. Taj iznos predstavlja iznos obveza za zaposlene, materijalne rashode, financijske rashode, ostale tekuće obveze.
Stanje dospjelih obveza iznosi 6.922,48 te se odnosi na nepodmirene račune do 60 dana. Uglavnom su to računi koji su kasnili prilikom slanja pa nisu na vrijeme podmireni ili se čeka refundacija Grada za podmirenje istih.</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0e277b0b072d4e2d" /></Relationships>
</file>